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74" w:rsidRDefault="00B02574" w:rsidP="00B02574">
      <w:pPr>
        <w:pStyle w:val="Titolo"/>
        <w:rPr>
          <w:sz w:val="40"/>
          <w:szCs w:val="40"/>
        </w:rPr>
      </w:pPr>
      <w:bookmarkStart w:id="0" w:name="_GoBack"/>
      <w:bookmarkEnd w:id="0"/>
      <w:r w:rsidRPr="008D5C72">
        <w:rPr>
          <w:sz w:val="40"/>
          <w:szCs w:val="40"/>
        </w:rPr>
        <w:t xml:space="preserve">Mathématiques Sans Frontières Junior : </w:t>
      </w:r>
    </w:p>
    <w:p w:rsidR="00B02574" w:rsidRPr="008D5C72" w:rsidRDefault="00B02574" w:rsidP="00B02574">
      <w:pPr>
        <w:pStyle w:val="Titolo"/>
        <w:rPr>
          <w:sz w:val="40"/>
          <w:szCs w:val="40"/>
        </w:rPr>
      </w:pPr>
      <w:r w:rsidRPr="008D5C72">
        <w:rPr>
          <w:sz w:val="40"/>
          <w:szCs w:val="40"/>
        </w:rPr>
        <w:t>r</w:t>
      </w:r>
      <w:r w:rsidRPr="008D5C72">
        <w:rPr>
          <w:bCs w:val="0"/>
          <w:sz w:val="40"/>
          <w:szCs w:val="40"/>
        </w:rPr>
        <w:t>apport de jury 201</w:t>
      </w:r>
      <w:r>
        <w:rPr>
          <w:bCs w:val="0"/>
          <w:sz w:val="40"/>
          <w:szCs w:val="40"/>
        </w:rPr>
        <w:t>6</w:t>
      </w:r>
    </w:p>
    <w:p w:rsidR="00B02574" w:rsidRPr="00E34A08" w:rsidRDefault="00B02574" w:rsidP="00B02574">
      <w:pPr>
        <w:pStyle w:val="Corpodeltesto2"/>
        <w:jc w:val="both"/>
        <w:rPr>
          <w:sz w:val="24"/>
          <w:szCs w:val="40"/>
        </w:rPr>
      </w:pPr>
    </w:p>
    <w:p w:rsidR="00B02574" w:rsidRPr="008D5C72" w:rsidRDefault="00B02574" w:rsidP="00B02574">
      <w:pPr>
        <w:pStyle w:val="Corpodeltesto2"/>
        <w:jc w:val="both"/>
        <w:rPr>
          <w:b/>
          <w:sz w:val="36"/>
          <w:szCs w:val="40"/>
        </w:rPr>
      </w:pPr>
      <w:r w:rsidRPr="008D5C72">
        <w:rPr>
          <w:b/>
          <w:sz w:val="36"/>
          <w:szCs w:val="40"/>
        </w:rPr>
        <w:t>Participation à</w:t>
      </w:r>
      <w:r>
        <w:rPr>
          <w:b/>
          <w:sz w:val="36"/>
          <w:szCs w:val="40"/>
        </w:rPr>
        <w:t xml:space="preserve"> l’épreuve finale de 2016.</w:t>
      </w:r>
    </w:p>
    <w:p w:rsidR="00B02574" w:rsidRDefault="00B02574" w:rsidP="00B02574">
      <w:pPr>
        <w:pStyle w:val="Didascalia"/>
        <w:spacing w:line="288" w:lineRule="auto"/>
        <w:jc w:val="both"/>
        <w:rPr>
          <w:sz w:val="22"/>
        </w:rPr>
      </w:pPr>
      <w:r w:rsidRPr="00E34A08">
        <w:rPr>
          <w:noProof/>
          <w:color w:val="000000"/>
          <w:sz w:val="28"/>
        </w:rPr>
        <w:t>En Alsace,</w:t>
      </w:r>
      <w:r>
        <w:rPr>
          <w:noProof/>
          <w:color w:val="000000"/>
          <w:sz w:val="28"/>
        </w:rPr>
        <w:t xml:space="preserve"> des inscriptions qui stagnent mais une participation à la baisse.</w:t>
      </w:r>
      <w:r>
        <w:rPr>
          <w:noProof/>
          <w:lang w:val="it-IT" w:eastAsia="it-IT"/>
        </w:rPr>
        <w:drawing>
          <wp:anchor distT="4333" distB="0" distL="123171" distR="118736" simplePos="0" relativeHeight="251659264" behindDoc="0" locked="0" layoutInCell="1" allowOverlap="1">
            <wp:simplePos x="0" y="0"/>
            <wp:positionH relativeFrom="column">
              <wp:posOffset>3190221</wp:posOffset>
            </wp:positionH>
            <wp:positionV relativeFrom="paragraph">
              <wp:posOffset>144033</wp:posOffset>
            </wp:positionV>
            <wp:extent cx="3326765" cy="1950085"/>
            <wp:effectExtent l="0" t="0" r="26035" b="12065"/>
            <wp:wrapTight wrapText="bothSides">
              <wp:wrapPolygon edited="0">
                <wp:start x="124" y="0"/>
                <wp:lineTo x="0" y="633"/>
                <wp:lineTo x="0" y="20890"/>
                <wp:lineTo x="124" y="21523"/>
                <wp:lineTo x="21522" y="21523"/>
                <wp:lineTo x="21645" y="21101"/>
                <wp:lineTo x="21645" y="422"/>
                <wp:lineTo x="21398" y="0"/>
                <wp:lineTo x="124" y="0"/>
              </wp:wrapPolygon>
            </wp:wrapTight>
            <wp:docPr id="2" name="Gra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Pr>
          <w:noProof/>
          <w:lang w:val="it-IT" w:eastAsia="it-IT"/>
        </w:rPr>
        <w:drawing>
          <wp:anchor distT="3973" distB="1490" distL="122201" distR="118744" simplePos="0" relativeHeight="251660288" behindDoc="0" locked="0" layoutInCell="1" allowOverlap="1">
            <wp:simplePos x="0" y="0"/>
            <wp:positionH relativeFrom="column">
              <wp:posOffset>-254354</wp:posOffset>
            </wp:positionH>
            <wp:positionV relativeFrom="paragraph">
              <wp:posOffset>143673</wp:posOffset>
            </wp:positionV>
            <wp:extent cx="3345180" cy="1948815"/>
            <wp:effectExtent l="0" t="0" r="26670" b="13335"/>
            <wp:wrapTight wrapText="bothSides">
              <wp:wrapPolygon edited="0">
                <wp:start x="123" y="0"/>
                <wp:lineTo x="0" y="633"/>
                <wp:lineTo x="0" y="21537"/>
                <wp:lineTo x="123" y="21537"/>
                <wp:lineTo x="21526" y="21537"/>
                <wp:lineTo x="21649" y="21114"/>
                <wp:lineTo x="21649" y="422"/>
                <wp:lineTo x="21403" y="0"/>
                <wp:lineTo x="123" y="0"/>
              </wp:wrapPolygon>
            </wp:wrapTight>
            <wp:docPr id="1" name="Gra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B02574" w:rsidRDefault="00B02574" w:rsidP="00B02574">
      <w:pPr>
        <w:ind w:firstLine="708"/>
        <w:jc w:val="both"/>
        <w:rPr>
          <w:rFonts w:ascii="Comic Sans MS" w:hAnsi="Comic Sans MS"/>
          <w:color w:val="000000"/>
          <w:sz w:val="22"/>
        </w:rPr>
      </w:pPr>
      <w:r>
        <w:rPr>
          <w:rFonts w:ascii="Comic Sans MS" w:hAnsi="Comic Sans MS"/>
          <w:color w:val="000000"/>
          <w:sz w:val="22"/>
        </w:rPr>
        <w:t xml:space="preserve">Cette année, 913 classes étaient inscrites en Alsace (920 en 2015) pour une participation effective de 874 classes, soit une baisse de 2,7%. A noter que plus de 40 classes inscrites n’ont pas participé (presque le double des années précédentes). </w:t>
      </w:r>
    </w:p>
    <w:p w:rsidR="00B02574" w:rsidRDefault="00B02574" w:rsidP="00B02574">
      <w:pPr>
        <w:jc w:val="both"/>
        <w:rPr>
          <w:rFonts w:ascii="Comic Sans MS" w:hAnsi="Comic Sans MS"/>
          <w:color w:val="000000"/>
          <w:sz w:val="22"/>
        </w:rPr>
      </w:pPr>
      <w:r>
        <w:rPr>
          <w:rFonts w:ascii="Comic Sans MS" w:hAnsi="Comic Sans MS"/>
          <w:color w:val="000000"/>
          <w:sz w:val="22"/>
        </w:rPr>
        <w:t>Ces chiffres s’expliquent certes par une baisse des jumelages de 5 % (249 jumelages contre 266), soit une stagnation de leur proportion aux alentours de 57 %, mais aussi et surtout par une baisse significative de la participation des classes de CM2 non jumelées (le quart en moins en Alsace). Ces baisses sont toutefois à nuancer :</w:t>
      </w:r>
    </w:p>
    <w:p w:rsidR="00B02574" w:rsidRDefault="00B02574" w:rsidP="00B02574">
      <w:pPr>
        <w:numPr>
          <w:ilvl w:val="0"/>
          <w:numId w:val="1"/>
        </w:numPr>
        <w:ind w:left="851"/>
        <w:jc w:val="both"/>
        <w:rPr>
          <w:rFonts w:ascii="Comic Sans MS" w:hAnsi="Comic Sans MS"/>
          <w:color w:val="000000"/>
          <w:sz w:val="22"/>
        </w:rPr>
      </w:pPr>
      <w:r>
        <w:rPr>
          <w:rFonts w:ascii="Comic Sans MS" w:hAnsi="Comic Sans MS"/>
          <w:color w:val="000000"/>
          <w:sz w:val="22"/>
        </w:rPr>
        <w:t xml:space="preserve">si la participation </w:t>
      </w:r>
      <w:r w:rsidRPr="00456AC4">
        <w:rPr>
          <w:rFonts w:ascii="Comic Sans MS" w:hAnsi="Comic Sans MS"/>
          <w:color w:val="000000"/>
          <w:sz w:val="22"/>
        </w:rPr>
        <w:t xml:space="preserve">au premier degré </w:t>
      </w:r>
      <w:r>
        <w:rPr>
          <w:rFonts w:ascii="Comic Sans MS" w:hAnsi="Comic Sans MS"/>
          <w:color w:val="000000"/>
          <w:sz w:val="22"/>
        </w:rPr>
        <w:t>(jumelages et classes seules cumulés) est en nette diminution (345 classes soit 12 % en moins que 2015), elle reste stable pour les 6° (525 classes de 6° les deux années) ;</w:t>
      </w:r>
    </w:p>
    <w:p w:rsidR="00B02574" w:rsidRDefault="00B02574" w:rsidP="00B02574">
      <w:pPr>
        <w:numPr>
          <w:ilvl w:val="0"/>
          <w:numId w:val="1"/>
        </w:numPr>
        <w:ind w:left="851"/>
        <w:jc w:val="both"/>
        <w:rPr>
          <w:rFonts w:ascii="Comic Sans MS" w:hAnsi="Comic Sans MS"/>
          <w:color w:val="000000"/>
          <w:sz w:val="22"/>
        </w:rPr>
      </w:pPr>
      <w:r>
        <w:rPr>
          <w:rFonts w:ascii="Comic Sans MS" w:hAnsi="Comic Sans MS"/>
          <w:color w:val="000000"/>
          <w:sz w:val="22"/>
        </w:rPr>
        <w:t>les effectifs sont en nette diminution dans le Haut-Rhin (12,5% de baisse par rapport à 2015 pour les jumelages, plus de 50 % pour les CM seuls mais aussi une hausse de 10% chez les 6° soit une baisse globale de 14%) alors qu’ils sont en légère hausse de la Bas-Rhin (de 1% dans toutes les catégories) ;</w:t>
      </w:r>
    </w:p>
    <w:p w:rsidR="00B02574" w:rsidRDefault="00B02574" w:rsidP="00B02574">
      <w:pPr>
        <w:numPr>
          <w:ilvl w:val="0"/>
          <w:numId w:val="1"/>
        </w:numPr>
        <w:ind w:left="851"/>
        <w:jc w:val="both"/>
        <w:rPr>
          <w:rFonts w:ascii="Comic Sans MS" w:hAnsi="Comic Sans MS"/>
          <w:color w:val="000000"/>
          <w:sz w:val="22"/>
        </w:rPr>
      </w:pPr>
      <w:r>
        <w:rPr>
          <w:rFonts w:ascii="Comic Sans MS" w:hAnsi="Comic Sans MS"/>
          <w:color w:val="000000"/>
          <w:sz w:val="22"/>
        </w:rPr>
        <w:t xml:space="preserve"> la proportion des CM2 jumelés est encore en augmentation, pour atteindre presque les trois quarts !</w:t>
      </w:r>
    </w:p>
    <w:p w:rsidR="00B02574" w:rsidRDefault="00B02574" w:rsidP="00B02574">
      <w:pPr>
        <w:jc w:val="both"/>
        <w:rPr>
          <w:rFonts w:ascii="Comic Sans MS" w:hAnsi="Comic Sans MS"/>
          <w:color w:val="000000"/>
          <w:sz w:val="22"/>
        </w:rPr>
      </w:pPr>
    </w:p>
    <w:p w:rsidR="00B02574" w:rsidRDefault="00B02574" w:rsidP="00B02574">
      <w:pPr>
        <w:jc w:val="both"/>
        <w:rPr>
          <w:rFonts w:ascii="Comic Sans MS" w:hAnsi="Comic Sans MS"/>
          <w:color w:val="000000"/>
          <w:sz w:val="22"/>
        </w:rPr>
      </w:pPr>
      <w:r>
        <w:rPr>
          <w:rFonts w:ascii="Comic Sans MS" w:hAnsi="Comic Sans MS"/>
          <w:color w:val="000000"/>
          <w:sz w:val="22"/>
        </w:rPr>
        <w:t xml:space="preserve">Comment expliquer ces variations ? </w:t>
      </w:r>
    </w:p>
    <w:p w:rsidR="00B02574" w:rsidRDefault="00B02574" w:rsidP="00B02574">
      <w:pPr>
        <w:jc w:val="both"/>
        <w:rPr>
          <w:rFonts w:ascii="Comic Sans MS" w:hAnsi="Comic Sans MS"/>
          <w:color w:val="000000"/>
          <w:sz w:val="22"/>
        </w:rPr>
      </w:pPr>
      <w:r>
        <w:rPr>
          <w:rFonts w:ascii="Comic Sans MS" w:hAnsi="Comic Sans MS"/>
          <w:color w:val="000000"/>
          <w:sz w:val="22"/>
        </w:rPr>
        <w:t xml:space="preserve">Certes, elles paraissent étonnantes et ont surpris les membres de l’équipe en cette année de passage à un nouveau cycle 3, incluant les CM et la 6°, et qui valide les projets de liaison comme notre compétition. Toutefois, il pourrait s’agir d’un effet paradoxal que confirment l’observation de certains secteurs et le retour de collègues, notamment en REP+. En effet, les initiatives </w:t>
      </w:r>
      <w:proofErr w:type="spellStart"/>
      <w:r>
        <w:rPr>
          <w:rFonts w:ascii="Comic Sans MS" w:hAnsi="Comic Sans MS"/>
          <w:color w:val="000000"/>
          <w:sz w:val="22"/>
        </w:rPr>
        <w:t>interdegrés</w:t>
      </w:r>
      <w:proofErr w:type="spellEnd"/>
      <w:r>
        <w:rPr>
          <w:rFonts w:ascii="Comic Sans MS" w:hAnsi="Comic Sans MS"/>
          <w:color w:val="000000"/>
          <w:sz w:val="22"/>
        </w:rPr>
        <w:t xml:space="preserve"> se multiplient, sont alimentées par des temps de concertation reconnus et, pour certaines, appuyées par une formation individualisée dans les REP+. Ces dispositifs donnent ainsi à chacun </w:t>
      </w:r>
      <w:r w:rsidRPr="00601BB3">
        <w:rPr>
          <w:rFonts w:ascii="Comic Sans MS" w:hAnsi="Comic Sans MS"/>
          <w:color w:val="000000"/>
          <w:sz w:val="22"/>
        </w:rPr>
        <w:t xml:space="preserve">les moyens </w:t>
      </w:r>
      <w:r>
        <w:rPr>
          <w:rFonts w:ascii="Comic Sans MS" w:hAnsi="Comic Sans MS"/>
          <w:color w:val="000000"/>
          <w:sz w:val="22"/>
        </w:rPr>
        <w:t xml:space="preserve">de développer des projets adaptés à chacune des classes, aux besoins identifiés ou aux dispositions des enseignants, rendant l’aspect « clé en main » de notre compétition moins attractif et pratique. De plus, devant cette multiplication des </w:t>
      </w:r>
      <w:r>
        <w:rPr>
          <w:rFonts w:ascii="Comic Sans MS" w:hAnsi="Comic Sans MS"/>
          <w:color w:val="000000"/>
          <w:sz w:val="22"/>
        </w:rPr>
        <w:lastRenderedPageBreak/>
        <w:t xml:space="preserve">projets de liaison, les CM2 sont de plus en plus sollicités pour des projets dans divers disciplines, notamment en maîtrise de la langue et en Français. Ainsi, les CM2 d’une école de REP+ de Strasbourg ont souvent entre 2 et 3 projets </w:t>
      </w:r>
      <w:proofErr w:type="spellStart"/>
      <w:r>
        <w:rPr>
          <w:rFonts w:ascii="Comic Sans MS" w:hAnsi="Comic Sans MS"/>
          <w:color w:val="000000"/>
          <w:sz w:val="22"/>
        </w:rPr>
        <w:t>interdegrés</w:t>
      </w:r>
      <w:proofErr w:type="spellEnd"/>
      <w:r>
        <w:rPr>
          <w:rFonts w:ascii="Comic Sans MS" w:hAnsi="Comic Sans MS"/>
          <w:color w:val="000000"/>
          <w:sz w:val="22"/>
        </w:rPr>
        <w:t xml:space="preserve"> et doivent refuser de nombreuses sollicitations. Une autre hypothèse est la baisse des jumelages notamment en milieu rural, où les financements des transports sont des éléments déterminants, en cette année de baisse de subvention par le conseil général, baisse souvent annoncée après le début de l’année civile. Cela semble être le cas dans certains secteurs d’Alsace et expliquerait le différentiel entre inscription et participation, même si </w:t>
      </w:r>
      <w:r w:rsidRPr="0093203F">
        <w:rPr>
          <w:rFonts w:ascii="Comic Sans MS" w:hAnsi="Comic Sans MS"/>
          <w:color w:val="000000"/>
          <w:sz w:val="22"/>
        </w:rPr>
        <w:t xml:space="preserve">une étude plus fine des participations </w:t>
      </w:r>
      <w:r>
        <w:rPr>
          <w:rFonts w:ascii="Comic Sans MS" w:hAnsi="Comic Sans MS"/>
          <w:color w:val="000000"/>
          <w:sz w:val="22"/>
        </w:rPr>
        <w:t>serait à effectuer pour valider ce retour de quelques secteurs de collège.</w:t>
      </w:r>
    </w:p>
    <w:p w:rsidR="00B02574" w:rsidRDefault="00B02574" w:rsidP="00B02574">
      <w:pPr>
        <w:jc w:val="both"/>
        <w:rPr>
          <w:rFonts w:ascii="Comic Sans MS" w:hAnsi="Comic Sans MS"/>
          <w:color w:val="000000"/>
          <w:sz w:val="22"/>
        </w:rPr>
      </w:pPr>
    </w:p>
    <w:p w:rsidR="00B02574" w:rsidRDefault="00B02574" w:rsidP="00B02574">
      <w:pPr>
        <w:jc w:val="both"/>
        <w:rPr>
          <w:rFonts w:ascii="Comic Sans MS" w:hAnsi="Comic Sans MS"/>
          <w:color w:val="000000"/>
          <w:sz w:val="22"/>
        </w:rPr>
      </w:pPr>
      <w:r>
        <w:rPr>
          <w:rFonts w:ascii="Comic Sans MS" w:hAnsi="Comic Sans MS"/>
          <w:color w:val="000000"/>
          <w:sz w:val="22"/>
        </w:rPr>
        <w:t xml:space="preserve">Quoiqu’il en soit, après 3 ans de hausse significative  (l’augmentation reste tout de même de plus de 20 % depuis la dernière année de baisse que fut 2012), cette baisse interroge l’équipe de conception mais aussi l’équipe d’organisation qui réfléchissent à des adaptations à venir pour mieux répondre aux transformations en profondeur suite à la Refondation de l’École et l’arrivée </w:t>
      </w:r>
      <w:r w:rsidRPr="00601BB3">
        <w:rPr>
          <w:rFonts w:ascii="Comic Sans MS" w:hAnsi="Comic Sans MS"/>
          <w:color w:val="000000"/>
          <w:sz w:val="22"/>
        </w:rPr>
        <w:t>de ce nouveau cycle CM-6°</w:t>
      </w:r>
      <w:r>
        <w:rPr>
          <w:rFonts w:ascii="Comic Sans MS" w:hAnsi="Comic Sans MS"/>
          <w:color w:val="000000"/>
          <w:sz w:val="22"/>
        </w:rPr>
        <w:t>dans les programmes 2016. Mais c’est surtout à la vue du taux de pénétration dans notre Académie que cette baisse est à relativiser et laisse à penser que la participation arrive à un plateau : plus de la moitié des classes de CM2, 4 classes de 6° sur 5 participent désormais à Mathématiques Sans Frontières Junior</w:t>
      </w:r>
      <w:r w:rsidRPr="00AF2F4F">
        <w:rPr>
          <w:rFonts w:ascii="Comic Sans MS" w:hAnsi="Comic Sans MS"/>
          <w:color w:val="000000"/>
          <w:sz w:val="22"/>
        </w:rPr>
        <w:t xml:space="preserve"> en Alsace</w:t>
      </w:r>
      <w:r>
        <w:rPr>
          <w:rFonts w:ascii="Comic Sans MS" w:hAnsi="Comic Sans MS"/>
          <w:color w:val="000000"/>
          <w:sz w:val="22"/>
        </w:rPr>
        <w:t> ! Un signe fort de l’ancrage de la culture mathématique en Alsace et de la contribution de notre compétition à celle-ci, signe qui valide l’engagement de l’équipe depuis plus de 11 ans et l’encourage à poursuivre cet effort !</w:t>
      </w:r>
    </w:p>
    <w:p w:rsidR="00B02574" w:rsidRDefault="00B02574" w:rsidP="00B02574">
      <w:pPr>
        <w:jc w:val="center"/>
        <w:rPr>
          <w:rFonts w:ascii="Comic Sans MS" w:hAnsi="Comic Sans MS"/>
          <w:color w:val="000000"/>
          <w:sz w:val="22"/>
        </w:rPr>
      </w:pPr>
    </w:p>
    <w:p w:rsidR="00B02574" w:rsidRDefault="00B02574" w:rsidP="00B02574">
      <w:pPr>
        <w:jc w:val="both"/>
        <w:rPr>
          <w:rFonts w:ascii="Comic Sans MS" w:hAnsi="Comic Sans MS"/>
          <w:color w:val="000000"/>
          <w:sz w:val="22"/>
        </w:rPr>
      </w:pPr>
    </w:p>
    <w:p w:rsidR="00B02574" w:rsidRDefault="00B02574" w:rsidP="00B02574">
      <w:pPr>
        <w:jc w:val="both"/>
        <w:rPr>
          <w:rFonts w:ascii="Comic Sans MS" w:hAnsi="Comic Sans MS"/>
          <w:sz w:val="22"/>
        </w:rPr>
      </w:pPr>
    </w:p>
    <w:p w:rsidR="00B02574" w:rsidRPr="00DB6D35" w:rsidRDefault="00B02574" w:rsidP="00B02574">
      <w:pPr>
        <w:pStyle w:val="Didascalia"/>
        <w:spacing w:line="288" w:lineRule="auto"/>
        <w:jc w:val="both"/>
        <w:rPr>
          <w:sz w:val="28"/>
        </w:rPr>
      </w:pPr>
      <w:r w:rsidRPr="00DB6D35">
        <w:rPr>
          <w:sz w:val="28"/>
        </w:rPr>
        <w:t>Participation dans le monde</w:t>
      </w:r>
    </w:p>
    <w:p w:rsidR="00B02574" w:rsidRPr="008C4CA1" w:rsidRDefault="00B02574" w:rsidP="00B02574">
      <w:pPr>
        <w:jc w:val="both"/>
        <w:rPr>
          <w:rFonts w:ascii="Comic Sans MS" w:hAnsi="Comic Sans MS"/>
          <w:color w:val="FF0000"/>
          <w:sz w:val="22"/>
        </w:rPr>
      </w:pPr>
      <w:r>
        <w:rPr>
          <w:rFonts w:ascii="Comic Sans MS" w:hAnsi="Comic Sans MS"/>
          <w:color w:val="FF0000"/>
          <w:sz w:val="22"/>
        </w:rPr>
        <w:t>À rédiger. T</w:t>
      </w:r>
      <w:r w:rsidRPr="008C4CA1">
        <w:rPr>
          <w:rFonts w:ascii="Comic Sans MS" w:hAnsi="Comic Sans MS"/>
          <w:color w:val="FF0000"/>
          <w:sz w:val="22"/>
        </w:rPr>
        <w:t>raditionnellement, c’est AC ou Anthony</w:t>
      </w:r>
      <w:r>
        <w:rPr>
          <w:rFonts w:ascii="Comic Sans MS" w:hAnsi="Comic Sans MS"/>
          <w:color w:val="FF0000"/>
          <w:sz w:val="22"/>
        </w:rPr>
        <w:t xml:space="preserve"> (?)</w:t>
      </w:r>
      <w:r w:rsidRPr="008C4CA1">
        <w:rPr>
          <w:rFonts w:ascii="Comic Sans MS" w:hAnsi="Comic Sans MS"/>
          <w:color w:val="FF0000"/>
          <w:sz w:val="22"/>
        </w:rPr>
        <w:t xml:space="preserve"> qui s’y collaient… Je n’ai pas le détail des inscriptions </w:t>
      </w:r>
      <w:r>
        <w:rPr>
          <w:rFonts w:ascii="Comic Sans MS" w:hAnsi="Comic Sans MS"/>
          <w:color w:val="FF0000"/>
          <w:sz w:val="22"/>
        </w:rPr>
        <w:t>et notamment des pays inscrits.</w:t>
      </w:r>
    </w:p>
    <w:p w:rsidR="00B02574" w:rsidRPr="00754D36" w:rsidRDefault="00B02574" w:rsidP="00B02574">
      <w:pPr>
        <w:spacing w:line="360" w:lineRule="auto"/>
        <w:jc w:val="both"/>
        <w:rPr>
          <w:rFonts w:ascii="Comic Sans MS" w:hAnsi="Comic Sans MS"/>
          <w:b/>
          <w:sz w:val="20"/>
          <w:szCs w:val="40"/>
        </w:rPr>
      </w:pPr>
    </w:p>
    <w:p w:rsidR="00F96898" w:rsidRDefault="00F96898"/>
    <w:sectPr w:rsidR="00F968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AFE"/>
    <w:multiLevelType w:val="hybridMultilevel"/>
    <w:tmpl w:val="700CF338"/>
    <w:lvl w:ilvl="0" w:tplc="05FE467E">
      <w:numFmt w:val="bullet"/>
      <w:lvlText w:val="-"/>
      <w:lvlJc w:val="left"/>
      <w:pPr>
        <w:ind w:left="1428" w:hanging="360"/>
      </w:pPr>
      <w:rPr>
        <w:rFonts w:ascii="Comic Sans MS" w:eastAsia="Times New Roman" w:hAnsi="Comic Sans M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74"/>
    <w:rsid w:val="00880463"/>
    <w:rsid w:val="00B02574"/>
    <w:rsid w:val="00F96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574"/>
    <w:pPr>
      <w:spacing w:after="0" w:line="240" w:lineRule="auto"/>
    </w:pPr>
    <w:rPr>
      <w:rFonts w:ascii="Times New Roman" w:eastAsia="Times New Roman" w:hAnsi="Times New Roman" w:cs="Times New Roman"/>
      <w:sz w:val="24"/>
      <w:szCs w:val="24"/>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B02574"/>
    <w:rPr>
      <w:rFonts w:ascii="Comic Sans MS" w:hAnsi="Comic Sans MS"/>
      <w:sz w:val="22"/>
    </w:rPr>
  </w:style>
  <w:style w:type="character" w:customStyle="1" w:styleId="Corpodeltesto2Carattere">
    <w:name w:val="Corpo del testo 2 Carattere"/>
    <w:basedOn w:val="Carpredefinitoparagrafo"/>
    <w:link w:val="Corpodeltesto2"/>
    <w:rsid w:val="00B02574"/>
    <w:rPr>
      <w:rFonts w:ascii="Comic Sans MS" w:eastAsia="Times New Roman" w:hAnsi="Comic Sans MS" w:cs="Times New Roman"/>
      <w:szCs w:val="24"/>
      <w:lang w:val="fr-FR" w:eastAsia="fr-FR"/>
    </w:rPr>
  </w:style>
  <w:style w:type="paragraph" w:styleId="Didascalia">
    <w:name w:val="caption"/>
    <w:basedOn w:val="Normale"/>
    <w:next w:val="Normale"/>
    <w:qFormat/>
    <w:rsid w:val="00B02574"/>
    <w:rPr>
      <w:rFonts w:ascii="Comic Sans MS" w:hAnsi="Comic Sans MS"/>
      <w:sz w:val="32"/>
    </w:rPr>
  </w:style>
  <w:style w:type="paragraph" w:styleId="Titolo">
    <w:name w:val="Title"/>
    <w:basedOn w:val="Normale"/>
    <w:link w:val="TitoloCarattere"/>
    <w:qFormat/>
    <w:rsid w:val="00B02574"/>
    <w:pPr>
      <w:jc w:val="center"/>
    </w:pPr>
    <w:rPr>
      <w:rFonts w:ascii="Comic Sans MS" w:hAnsi="Comic Sans MS"/>
      <w:b/>
      <w:bCs/>
      <w:sz w:val="36"/>
    </w:rPr>
  </w:style>
  <w:style w:type="character" w:customStyle="1" w:styleId="TitoloCarattere">
    <w:name w:val="Titolo Carattere"/>
    <w:basedOn w:val="Carpredefinitoparagrafo"/>
    <w:link w:val="Titolo"/>
    <w:rsid w:val="00B02574"/>
    <w:rPr>
      <w:rFonts w:ascii="Comic Sans MS" w:eastAsia="Times New Roman" w:hAnsi="Comic Sans MS" w:cs="Times New Roman"/>
      <w:b/>
      <w:bCs/>
      <w:sz w:val="36"/>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2574"/>
    <w:pPr>
      <w:spacing w:after="0" w:line="240" w:lineRule="auto"/>
    </w:pPr>
    <w:rPr>
      <w:rFonts w:ascii="Times New Roman" w:eastAsia="Times New Roman" w:hAnsi="Times New Roman" w:cs="Times New Roman"/>
      <w:sz w:val="24"/>
      <w:szCs w:val="24"/>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rsid w:val="00B02574"/>
    <w:rPr>
      <w:rFonts w:ascii="Comic Sans MS" w:hAnsi="Comic Sans MS"/>
      <w:sz w:val="22"/>
    </w:rPr>
  </w:style>
  <w:style w:type="character" w:customStyle="1" w:styleId="Corpodeltesto2Carattere">
    <w:name w:val="Corpo del testo 2 Carattere"/>
    <w:basedOn w:val="Carpredefinitoparagrafo"/>
    <w:link w:val="Corpodeltesto2"/>
    <w:rsid w:val="00B02574"/>
    <w:rPr>
      <w:rFonts w:ascii="Comic Sans MS" w:eastAsia="Times New Roman" w:hAnsi="Comic Sans MS" w:cs="Times New Roman"/>
      <w:szCs w:val="24"/>
      <w:lang w:val="fr-FR" w:eastAsia="fr-FR"/>
    </w:rPr>
  </w:style>
  <w:style w:type="paragraph" w:styleId="Didascalia">
    <w:name w:val="caption"/>
    <w:basedOn w:val="Normale"/>
    <w:next w:val="Normale"/>
    <w:qFormat/>
    <w:rsid w:val="00B02574"/>
    <w:rPr>
      <w:rFonts w:ascii="Comic Sans MS" w:hAnsi="Comic Sans MS"/>
      <w:sz w:val="32"/>
    </w:rPr>
  </w:style>
  <w:style w:type="paragraph" w:styleId="Titolo">
    <w:name w:val="Title"/>
    <w:basedOn w:val="Normale"/>
    <w:link w:val="TitoloCarattere"/>
    <w:qFormat/>
    <w:rsid w:val="00B02574"/>
    <w:pPr>
      <w:jc w:val="center"/>
    </w:pPr>
    <w:rPr>
      <w:rFonts w:ascii="Comic Sans MS" w:hAnsi="Comic Sans MS"/>
      <w:b/>
      <w:bCs/>
      <w:sz w:val="36"/>
    </w:rPr>
  </w:style>
  <w:style w:type="character" w:customStyle="1" w:styleId="TitoloCarattere">
    <w:name w:val="Titolo Carattere"/>
    <w:basedOn w:val="Carpredefinitoparagrafo"/>
    <w:link w:val="Titolo"/>
    <w:rsid w:val="00B02574"/>
    <w:rPr>
      <w:rFonts w:ascii="Comic Sans MS" w:eastAsia="Times New Roman" w:hAnsi="Comic Sans MS" w:cs="Times New Roman"/>
      <w:b/>
      <w:bCs/>
      <w:sz w:val="36"/>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travail\jeux%20math&#233;matiques\MSF%20Junior\secr&#233;tariat%20p&#233;dagogique\passation\rapport%20de%20jury\participation\MsFJu%20participation%20alsace%20depuis2006_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travail\jeux%20math&#233;matiques\MSF%20Junior\secr&#233;tariat%20p&#233;dagogique\passation\rapport%20de%20jury\participation\MsFJu%20participation%20alsace%20depuis2006_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roundedCorners val="1"/>
  <c:style val="2"/>
  <c:chart>
    <c:title>
      <c:tx>
        <c:rich>
          <a:bodyPr/>
          <a:lstStyle/>
          <a:p>
            <a:pPr>
              <a:defRPr/>
            </a:pPr>
            <a:r>
              <a:rPr lang="fr-FR"/>
              <a:t>Proportion</a:t>
            </a:r>
            <a:r>
              <a:rPr lang="fr-FR" baseline="0"/>
              <a:t> des jumelages</a:t>
            </a:r>
            <a:endParaRPr lang="fr-FR"/>
          </a:p>
        </c:rich>
      </c:tx>
      <c:layout/>
      <c:overlay val="1"/>
    </c:title>
    <c:autoTitleDeleted val="0"/>
    <c:plotArea>
      <c:layout/>
      <c:barChart>
        <c:barDir val="col"/>
        <c:grouping val="clustered"/>
        <c:varyColors val="1"/>
        <c:ser>
          <c:idx val="4"/>
          <c:order val="0"/>
          <c:tx>
            <c:strRef>
              <c:f>Feuil1!$A$6</c:f>
              <c:strCache>
                <c:ptCount val="1"/>
                <c:pt idx="0">
                  <c:v>école jumelée/école</c:v>
                </c:pt>
              </c:strCache>
            </c:strRef>
          </c:tx>
          <c:invertIfNegative val="1"/>
          <c:cat>
            <c:numRef>
              <c:f>Feuil1!$D$1:$L$1</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Feuil1!$D$6:$L$6</c:f>
              <c:numCache>
                <c:formatCode>0.00%</c:formatCode>
                <c:ptCount val="9"/>
                <c:pt idx="0">
                  <c:v>0.32038834951456313</c:v>
                </c:pt>
                <c:pt idx="1">
                  <c:v>0.37944664031620551</c:v>
                </c:pt>
                <c:pt idx="2">
                  <c:v>0.38349514563106796</c:v>
                </c:pt>
                <c:pt idx="3">
                  <c:v>0.42474916387959866</c:v>
                </c:pt>
                <c:pt idx="4">
                  <c:v>0.40213523131672596</c:v>
                </c:pt>
                <c:pt idx="5">
                  <c:v>0.56105610561056107</c:v>
                </c:pt>
                <c:pt idx="6">
                  <c:v>0.63829787234042556</c:v>
                </c:pt>
                <c:pt idx="7">
                  <c:v>0.68030690537084404</c:v>
                </c:pt>
                <c:pt idx="8">
                  <c:v>0.72173913043478266</c:v>
                </c:pt>
              </c:numCache>
            </c:numRef>
          </c:val>
        </c:ser>
        <c:ser>
          <c:idx val="0"/>
          <c:order val="1"/>
          <c:tx>
            <c:strRef>
              <c:f>Feuil1!$A$7</c:f>
              <c:strCache>
                <c:ptCount val="1"/>
                <c:pt idx="0">
                  <c:v>6° jumelées/6°</c:v>
                </c:pt>
              </c:strCache>
            </c:strRef>
          </c:tx>
          <c:invertIfNegative val="1"/>
          <c:cat>
            <c:numRef>
              <c:f>Feuil1!$D$1:$L$1</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Feuil1!$D$7:$L$7</c:f>
              <c:numCache>
                <c:formatCode>0.00%</c:formatCode>
                <c:ptCount val="9"/>
                <c:pt idx="0">
                  <c:v>0.20952380952380953</c:v>
                </c:pt>
                <c:pt idx="1">
                  <c:v>0.30967741935483872</c:v>
                </c:pt>
                <c:pt idx="2">
                  <c:v>0.20153061224489796</c:v>
                </c:pt>
                <c:pt idx="3">
                  <c:v>0.29195402298850576</c:v>
                </c:pt>
                <c:pt idx="4">
                  <c:v>0.26036866359447003</c:v>
                </c:pt>
                <c:pt idx="5">
                  <c:v>0.37117903930131002</c:v>
                </c:pt>
                <c:pt idx="6">
                  <c:v>0.42857142857142855</c:v>
                </c:pt>
                <c:pt idx="7">
                  <c:v>0.50283553875236298</c:v>
                </c:pt>
                <c:pt idx="8">
                  <c:v>0.47069943289224953</c:v>
                </c:pt>
              </c:numCache>
            </c:numRef>
          </c:val>
        </c:ser>
        <c:ser>
          <c:idx val="1"/>
          <c:order val="2"/>
          <c:tx>
            <c:strRef>
              <c:f>Feuil1!$A$8</c:f>
              <c:strCache>
                <c:ptCount val="1"/>
                <c:pt idx="0">
                  <c:v>jumelages/total</c:v>
                </c:pt>
              </c:strCache>
            </c:strRef>
          </c:tx>
          <c:invertIfNegative val="1"/>
          <c:cat>
            <c:numRef>
              <c:f>Feuil1!$D$1:$L$1</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Feuil1!$D$8:$L$8</c:f>
              <c:numCache>
                <c:formatCode>0.00%</c:formatCode>
                <c:ptCount val="9"/>
                <c:pt idx="0">
                  <c:v>0.25335892514395392</c:v>
                </c:pt>
                <c:pt idx="1">
                  <c:v>0.34103019538188278</c:v>
                </c:pt>
                <c:pt idx="2">
                  <c:v>0.26421404682274247</c:v>
                </c:pt>
                <c:pt idx="3">
                  <c:v>0.34604904632152589</c:v>
                </c:pt>
                <c:pt idx="4">
                  <c:v>0.31608391608391606</c:v>
                </c:pt>
                <c:pt idx="5">
                  <c:v>0.44678055190538762</c:v>
                </c:pt>
                <c:pt idx="6">
                  <c:v>0.51282051282051277</c:v>
                </c:pt>
                <c:pt idx="7">
                  <c:v>0.57826086956521738</c:v>
                </c:pt>
                <c:pt idx="8">
                  <c:v>0.56979405034324948</c:v>
                </c:pt>
              </c:numCache>
            </c:numRef>
          </c:val>
        </c:ser>
        <c:dLbls>
          <c:showLegendKey val="0"/>
          <c:showVal val="0"/>
          <c:showCatName val="0"/>
          <c:showSerName val="0"/>
          <c:showPercent val="0"/>
          <c:showBubbleSize val="0"/>
        </c:dLbls>
        <c:gapWidth val="150"/>
        <c:axId val="141424512"/>
        <c:axId val="153660416"/>
      </c:barChart>
      <c:catAx>
        <c:axId val="141424512"/>
        <c:scaling>
          <c:orientation val="minMax"/>
        </c:scaling>
        <c:delete val="1"/>
        <c:axPos val="b"/>
        <c:numFmt formatCode="General" sourceLinked="1"/>
        <c:majorTickMark val="cross"/>
        <c:minorTickMark val="cross"/>
        <c:tickLblPos val="nextTo"/>
        <c:crossAx val="153660416"/>
        <c:crosses val="autoZero"/>
        <c:auto val="1"/>
        <c:lblAlgn val="ctr"/>
        <c:lblOffset val="100"/>
        <c:noMultiLvlLbl val="1"/>
      </c:catAx>
      <c:valAx>
        <c:axId val="153660416"/>
        <c:scaling>
          <c:orientation val="minMax"/>
        </c:scaling>
        <c:delete val="1"/>
        <c:axPos val="l"/>
        <c:majorGridlines/>
        <c:numFmt formatCode="0.00%" sourceLinked="1"/>
        <c:majorTickMark val="cross"/>
        <c:minorTickMark val="cross"/>
        <c:tickLblPos val="nextTo"/>
        <c:crossAx val="141424512"/>
        <c:crosses val="autoZero"/>
        <c:crossBetween val="between"/>
      </c:valAx>
    </c:plotArea>
    <c:legend>
      <c:legendPos val="r"/>
      <c:layout/>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roundedCorners val="1"/>
  <c:style val="2"/>
  <c:chart>
    <c:title>
      <c:tx>
        <c:rich>
          <a:bodyPr/>
          <a:lstStyle/>
          <a:p>
            <a:pPr>
              <a:defRPr/>
            </a:pPr>
            <a:r>
              <a:rPr lang="fr-FR"/>
              <a:t>Participations</a:t>
            </a:r>
            <a:r>
              <a:rPr lang="fr-FR" baseline="0"/>
              <a:t> à la compétition.</a:t>
            </a:r>
            <a:endParaRPr lang="fr-FR"/>
          </a:p>
        </c:rich>
      </c:tx>
      <c:layout/>
      <c:overlay val="1"/>
    </c:title>
    <c:autoTitleDeleted val="0"/>
    <c:plotArea>
      <c:layout/>
      <c:barChart>
        <c:barDir val="col"/>
        <c:grouping val="stacked"/>
        <c:varyColors val="1"/>
        <c:ser>
          <c:idx val="0"/>
          <c:order val="0"/>
          <c:tx>
            <c:strRef>
              <c:f>Feuil1!$A$2</c:f>
              <c:strCache>
                <c:ptCount val="1"/>
                <c:pt idx="0">
                  <c:v>CM</c:v>
                </c:pt>
              </c:strCache>
            </c:strRef>
          </c:tx>
          <c:invertIfNegative val="1"/>
          <c:cat>
            <c:numRef>
              <c:f>Feuil1!$B$1:$L$1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Feuil1!$B$2:$L$2</c:f>
              <c:numCache>
                <c:formatCode>General</c:formatCode>
                <c:ptCount val="11"/>
                <c:pt idx="0">
                  <c:v>114</c:v>
                </c:pt>
                <c:pt idx="1">
                  <c:v>125</c:v>
                </c:pt>
                <c:pt idx="2">
                  <c:v>140</c:v>
                </c:pt>
                <c:pt idx="3">
                  <c:v>157</c:v>
                </c:pt>
                <c:pt idx="4">
                  <c:v>127</c:v>
                </c:pt>
                <c:pt idx="5">
                  <c:v>172</c:v>
                </c:pt>
                <c:pt idx="6">
                  <c:v>168</c:v>
                </c:pt>
                <c:pt idx="7">
                  <c:v>133</c:v>
                </c:pt>
                <c:pt idx="8">
                  <c:v>119</c:v>
                </c:pt>
                <c:pt idx="9">
                  <c:v>125</c:v>
                </c:pt>
                <c:pt idx="10">
                  <c:v>96</c:v>
                </c:pt>
              </c:numCache>
            </c:numRef>
          </c:val>
        </c:ser>
        <c:ser>
          <c:idx val="1"/>
          <c:order val="1"/>
          <c:tx>
            <c:strRef>
              <c:f>Feuil1!$A$3</c:f>
              <c:strCache>
                <c:ptCount val="1"/>
                <c:pt idx="0">
                  <c:v>CM jumelé</c:v>
                </c:pt>
              </c:strCache>
            </c:strRef>
          </c:tx>
          <c:invertIfNegative val="1"/>
          <c:cat>
            <c:numRef>
              <c:f>Feuil1!$B$1:$L$1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Feuil1!$B$3:$L$3</c:f>
              <c:numCache>
                <c:formatCode>General</c:formatCode>
                <c:ptCount val="11"/>
                <c:pt idx="2">
                  <c:v>66</c:v>
                </c:pt>
                <c:pt idx="3">
                  <c:v>96</c:v>
                </c:pt>
                <c:pt idx="4">
                  <c:v>79</c:v>
                </c:pt>
                <c:pt idx="5">
                  <c:v>127</c:v>
                </c:pt>
                <c:pt idx="6">
                  <c:v>113</c:v>
                </c:pt>
                <c:pt idx="7">
                  <c:v>170</c:v>
                </c:pt>
                <c:pt idx="8">
                  <c:v>210</c:v>
                </c:pt>
                <c:pt idx="9">
                  <c:v>266</c:v>
                </c:pt>
                <c:pt idx="10">
                  <c:v>249</c:v>
                </c:pt>
              </c:numCache>
            </c:numRef>
          </c:val>
        </c:ser>
        <c:ser>
          <c:idx val="2"/>
          <c:order val="2"/>
          <c:tx>
            <c:strRef>
              <c:f>Feuil1!$A$4</c:f>
              <c:strCache>
                <c:ptCount val="1"/>
                <c:pt idx="0">
                  <c:v>6° jumelée</c:v>
                </c:pt>
              </c:strCache>
            </c:strRef>
          </c:tx>
          <c:invertIfNegative val="1"/>
          <c:cat>
            <c:numRef>
              <c:f>Feuil1!$B$1:$L$1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Feuil1!$B$4:$L$4</c:f>
              <c:numCache>
                <c:formatCode>General</c:formatCode>
                <c:ptCount val="11"/>
                <c:pt idx="2">
                  <c:v>66</c:v>
                </c:pt>
                <c:pt idx="3">
                  <c:v>96</c:v>
                </c:pt>
                <c:pt idx="4">
                  <c:v>79</c:v>
                </c:pt>
                <c:pt idx="5">
                  <c:v>127</c:v>
                </c:pt>
                <c:pt idx="6">
                  <c:v>113</c:v>
                </c:pt>
                <c:pt idx="7">
                  <c:v>170</c:v>
                </c:pt>
                <c:pt idx="8">
                  <c:v>210</c:v>
                </c:pt>
                <c:pt idx="9">
                  <c:v>266</c:v>
                </c:pt>
                <c:pt idx="10">
                  <c:v>249</c:v>
                </c:pt>
              </c:numCache>
            </c:numRef>
          </c:val>
        </c:ser>
        <c:ser>
          <c:idx val="3"/>
          <c:order val="3"/>
          <c:tx>
            <c:strRef>
              <c:f>Feuil1!$A$5</c:f>
              <c:strCache>
                <c:ptCount val="1"/>
                <c:pt idx="0">
                  <c:v>6°</c:v>
                </c:pt>
              </c:strCache>
            </c:strRef>
          </c:tx>
          <c:invertIfNegative val="1"/>
          <c:cat>
            <c:numRef>
              <c:f>Feuil1!$B$1:$L$1</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Feuil1!$B$5:$L$5</c:f>
              <c:numCache>
                <c:formatCode>General</c:formatCode>
                <c:ptCount val="11"/>
                <c:pt idx="0">
                  <c:v>212</c:v>
                </c:pt>
                <c:pt idx="1">
                  <c:v>285</c:v>
                </c:pt>
                <c:pt idx="2">
                  <c:v>249</c:v>
                </c:pt>
                <c:pt idx="3">
                  <c:v>214</c:v>
                </c:pt>
                <c:pt idx="4">
                  <c:v>313</c:v>
                </c:pt>
                <c:pt idx="5">
                  <c:v>308</c:v>
                </c:pt>
                <c:pt idx="6">
                  <c:v>321</c:v>
                </c:pt>
                <c:pt idx="7">
                  <c:v>288</c:v>
                </c:pt>
                <c:pt idx="8">
                  <c:v>280</c:v>
                </c:pt>
                <c:pt idx="9">
                  <c:v>263</c:v>
                </c:pt>
                <c:pt idx="10">
                  <c:v>280</c:v>
                </c:pt>
              </c:numCache>
            </c:numRef>
          </c:val>
        </c:ser>
        <c:dLbls>
          <c:showLegendKey val="0"/>
          <c:showVal val="0"/>
          <c:showCatName val="0"/>
          <c:showSerName val="0"/>
          <c:showPercent val="0"/>
          <c:showBubbleSize val="0"/>
        </c:dLbls>
        <c:gapWidth val="150"/>
        <c:overlap val="100"/>
        <c:axId val="255638912"/>
        <c:axId val="39703680"/>
      </c:barChart>
      <c:catAx>
        <c:axId val="255638912"/>
        <c:scaling>
          <c:orientation val="minMax"/>
        </c:scaling>
        <c:delete val="1"/>
        <c:axPos val="b"/>
        <c:numFmt formatCode="General" sourceLinked="1"/>
        <c:majorTickMark val="cross"/>
        <c:minorTickMark val="cross"/>
        <c:tickLblPos val="nextTo"/>
        <c:crossAx val="39703680"/>
        <c:crosses val="autoZero"/>
        <c:auto val="1"/>
        <c:lblAlgn val="ctr"/>
        <c:lblOffset val="100"/>
        <c:noMultiLvlLbl val="1"/>
      </c:catAx>
      <c:valAx>
        <c:axId val="39703680"/>
        <c:scaling>
          <c:orientation val="minMax"/>
        </c:scaling>
        <c:delete val="1"/>
        <c:axPos val="l"/>
        <c:majorGridlines/>
        <c:numFmt formatCode="General" sourceLinked="1"/>
        <c:majorTickMark val="cross"/>
        <c:minorTickMark val="cross"/>
        <c:tickLblPos val="nextTo"/>
        <c:crossAx val="255638912"/>
        <c:crosses val="autoZero"/>
        <c:crossBetween val="between"/>
      </c:valAx>
    </c:plotArea>
    <c:legend>
      <c:legendPos val="r"/>
      <c:layout/>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Annamaria Gilberti</cp:lastModifiedBy>
  <cp:revision>2</cp:revision>
  <dcterms:created xsi:type="dcterms:W3CDTF">2016-10-05T14:52:00Z</dcterms:created>
  <dcterms:modified xsi:type="dcterms:W3CDTF">2016-10-05T14:52:00Z</dcterms:modified>
</cp:coreProperties>
</file>